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E26F2D" w:rsidRPr="00E26F2D" w:rsidTr="00E26F2D">
        <w:trPr>
          <w:tblCellSpacing w:w="0" w:type="dxa"/>
        </w:trPr>
        <w:tc>
          <w:tcPr>
            <w:tcW w:w="0" w:type="auto"/>
            <w:shd w:val="clear" w:color="auto" w:fill="auto"/>
            <w:tcMar>
              <w:top w:w="30" w:type="dxa"/>
              <w:left w:w="0" w:type="dxa"/>
              <w:bottom w:w="150" w:type="dxa"/>
              <w:right w:w="0" w:type="dxa"/>
            </w:tcMar>
            <w:vAlign w:val="center"/>
            <w:hideMark/>
          </w:tcPr>
          <w:p w:rsidR="00E26F2D" w:rsidRPr="00E26F2D" w:rsidRDefault="00E26F2D" w:rsidP="00E26F2D">
            <w:pPr>
              <w:widowControl/>
              <w:spacing w:line="500" w:lineRule="atLeast"/>
              <w:jc w:val="center"/>
              <w:rPr>
                <w:rFonts w:ascii="宋体" w:eastAsia="宋体" w:hAnsi="宋体" w:cs="宋体"/>
                <w:b/>
                <w:bCs/>
                <w:color w:val="093A96"/>
                <w:kern w:val="0"/>
                <w:sz w:val="33"/>
                <w:szCs w:val="33"/>
              </w:rPr>
            </w:pPr>
            <w:r w:rsidRPr="00E26F2D">
              <w:rPr>
                <w:rFonts w:ascii="宋体" w:eastAsia="宋体" w:hAnsi="宋体" w:cs="宋体" w:hint="eastAsia"/>
                <w:b/>
                <w:bCs/>
                <w:color w:val="093A96"/>
                <w:kern w:val="0"/>
                <w:sz w:val="33"/>
                <w:szCs w:val="33"/>
              </w:rPr>
              <w:t xml:space="preserve">《医疗器械临床试验质量管理规范》解读 </w:t>
            </w:r>
          </w:p>
        </w:tc>
      </w:tr>
      <w:tr w:rsidR="00E26F2D" w:rsidRPr="00E26F2D" w:rsidTr="00E26F2D">
        <w:trPr>
          <w:tblCellSpacing w:w="0" w:type="dxa"/>
        </w:trPr>
        <w:tc>
          <w:tcPr>
            <w:tcW w:w="0" w:type="auto"/>
            <w:shd w:val="clear" w:color="auto" w:fill="auto"/>
            <w:vAlign w:val="center"/>
            <w:hideMark/>
          </w:tcPr>
          <w:p w:rsidR="00E26F2D" w:rsidRPr="00E26F2D" w:rsidRDefault="00E26F2D" w:rsidP="00E26F2D">
            <w:pPr>
              <w:widowControl/>
              <w:spacing w:line="500" w:lineRule="atLeast"/>
              <w:jc w:val="center"/>
              <w:rPr>
                <w:rFonts w:ascii="宋体" w:eastAsia="宋体" w:hAnsi="宋体" w:cs="宋体" w:hint="eastAsia"/>
                <w:b/>
                <w:bCs/>
                <w:color w:val="093A96"/>
                <w:kern w:val="0"/>
                <w:sz w:val="33"/>
                <w:szCs w:val="33"/>
              </w:rPr>
            </w:pPr>
          </w:p>
        </w:tc>
      </w:tr>
      <w:tr w:rsidR="00E26F2D" w:rsidRPr="00E26F2D" w:rsidTr="00E26F2D">
        <w:trPr>
          <w:tblCellSpacing w:w="0" w:type="dxa"/>
        </w:trPr>
        <w:tc>
          <w:tcPr>
            <w:tcW w:w="0" w:type="auto"/>
            <w:shd w:val="clear" w:color="auto" w:fill="auto"/>
            <w:vAlign w:val="center"/>
            <w:hideMark/>
          </w:tcPr>
          <w:tbl>
            <w:tblPr>
              <w:tblW w:w="0" w:type="auto"/>
              <w:jc w:val="right"/>
              <w:tblCellSpacing w:w="15" w:type="dxa"/>
              <w:tblCellMar>
                <w:left w:w="0" w:type="dxa"/>
                <w:right w:w="0" w:type="dxa"/>
              </w:tblCellMar>
              <w:tblLook w:val="04A0" w:firstRow="1" w:lastRow="0" w:firstColumn="1" w:lastColumn="0" w:noHBand="0" w:noVBand="1"/>
            </w:tblPr>
            <w:tblGrid>
              <w:gridCol w:w="771"/>
              <w:gridCol w:w="1722"/>
            </w:tblGrid>
            <w:tr w:rsidR="00E26F2D" w:rsidRPr="00E26F2D">
              <w:trPr>
                <w:tblCellSpacing w:w="15" w:type="dxa"/>
                <w:jc w:val="right"/>
              </w:trPr>
              <w:tc>
                <w:tcPr>
                  <w:tcW w:w="0" w:type="auto"/>
                  <w:tcMar>
                    <w:top w:w="60" w:type="dxa"/>
                    <w:left w:w="0" w:type="dxa"/>
                    <w:bottom w:w="0" w:type="dxa"/>
                    <w:right w:w="0" w:type="dxa"/>
                  </w:tcMar>
                  <w:vAlign w:val="center"/>
                  <w:hideMark/>
                </w:tcPr>
                <w:p w:rsidR="00E26F2D" w:rsidRPr="00E26F2D" w:rsidRDefault="00E26F2D" w:rsidP="00E26F2D">
                  <w:pPr>
                    <w:widowControl/>
                    <w:spacing w:line="300" w:lineRule="atLeast"/>
                    <w:jc w:val="left"/>
                    <w:rPr>
                      <w:rFonts w:ascii="&amp;quot" w:eastAsia="宋体" w:hAnsi="&amp;quot" w:cs="宋体"/>
                      <w:kern w:val="0"/>
                      <w:sz w:val="18"/>
                      <w:szCs w:val="18"/>
                    </w:rPr>
                  </w:pPr>
                  <w:r w:rsidRPr="00E26F2D">
                    <w:rPr>
                      <w:rFonts w:ascii="&amp;quot" w:eastAsia="宋体" w:hAnsi="&amp;quot" w:cs="宋体" w:hint="eastAsia"/>
                      <w:noProof/>
                      <w:kern w:val="0"/>
                      <w:sz w:val="18"/>
                      <w:szCs w:val="18"/>
                    </w:rPr>
                    <w:drawing>
                      <wp:inline distT="0" distB="0" distL="0" distR="0" wp14:anchorId="13CE2327" wp14:editId="1679E311">
                        <wp:extent cx="230505" cy="230505"/>
                        <wp:effectExtent l="0" t="0" r="0" b="0"/>
                        <wp:docPr id="1" name="btnDown"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Down" descr="下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E26F2D">
                    <w:rPr>
                      <w:rFonts w:ascii="&amp;quot" w:eastAsia="宋体" w:hAnsi="&amp;quot" w:cs="宋体" w:hint="eastAsia"/>
                      <w:noProof/>
                      <w:kern w:val="0"/>
                      <w:sz w:val="18"/>
                      <w:szCs w:val="18"/>
                    </w:rPr>
                    <w:drawing>
                      <wp:inline distT="0" distB="0" distL="0" distR="0" wp14:anchorId="662739F4" wp14:editId="09D5BE09">
                        <wp:extent cx="230505" cy="230505"/>
                        <wp:effectExtent l="0" t="0" r="0" b="0"/>
                        <wp:docPr id="2" name="btnPrint" descr="打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Print" descr="打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vAlign w:val="center"/>
                  <w:hideMark/>
                </w:tcPr>
                <w:p w:rsidR="00E26F2D" w:rsidRPr="00E26F2D" w:rsidRDefault="00E26F2D" w:rsidP="00E26F2D">
                  <w:pPr>
                    <w:widowControl/>
                    <w:spacing w:line="300" w:lineRule="atLeast"/>
                    <w:jc w:val="left"/>
                    <w:rPr>
                      <w:rFonts w:ascii="&amp;quot" w:eastAsia="宋体" w:hAnsi="&amp;quot" w:cs="宋体"/>
                      <w:kern w:val="0"/>
                      <w:sz w:val="18"/>
                      <w:szCs w:val="18"/>
                    </w:rPr>
                  </w:pPr>
                  <w:r w:rsidRPr="00E26F2D">
                    <w:rPr>
                      <w:rFonts w:ascii="&amp;quot" w:eastAsia="宋体" w:hAnsi="&amp;quot" w:cs="宋体"/>
                      <w:kern w:val="0"/>
                      <w:sz w:val="18"/>
                      <w:szCs w:val="18"/>
                    </w:rPr>
                    <w:t xml:space="preserve">    </w:t>
                  </w:r>
                  <w:r w:rsidRPr="00E26F2D">
                    <w:rPr>
                      <w:rFonts w:ascii="&amp;quot" w:eastAsia="宋体" w:hAnsi="&amp;quot" w:cs="宋体" w:hint="eastAsia"/>
                      <w:noProof/>
                      <w:color w:val="3A3A3A"/>
                      <w:kern w:val="0"/>
                      <w:sz w:val="18"/>
                      <w:szCs w:val="18"/>
                    </w:rPr>
                    <w:drawing>
                      <wp:inline distT="0" distB="0" distL="0" distR="0" wp14:anchorId="09E72B9F" wp14:editId="145A95A1">
                        <wp:extent cx="230505" cy="230505"/>
                        <wp:effectExtent l="0" t="0" r="0" b="0"/>
                        <wp:docPr id="3" name="图片 3" descr="分享到新浪微博">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分享到新浪微博">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E26F2D">
                    <w:rPr>
                      <w:rFonts w:ascii="&amp;quot" w:eastAsia="宋体" w:hAnsi="&amp;quot" w:cs="宋体" w:hint="eastAsia"/>
                      <w:noProof/>
                      <w:color w:val="3A3A3A"/>
                      <w:kern w:val="0"/>
                      <w:sz w:val="18"/>
                      <w:szCs w:val="18"/>
                    </w:rPr>
                    <w:drawing>
                      <wp:inline distT="0" distB="0" distL="0" distR="0" wp14:anchorId="04812E69" wp14:editId="3D62F07B">
                        <wp:extent cx="230505" cy="230505"/>
                        <wp:effectExtent l="0" t="0" r="0" b="0"/>
                        <wp:docPr id="4" name="图片 4" descr="分享到腾讯微博">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分享到腾讯微博">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E26F2D">
                    <w:rPr>
                      <w:rFonts w:ascii="&amp;quot" w:eastAsia="宋体" w:hAnsi="&amp;quot" w:cs="宋体" w:hint="eastAsia"/>
                      <w:noProof/>
                      <w:color w:val="3A3A3A"/>
                      <w:kern w:val="0"/>
                      <w:sz w:val="18"/>
                      <w:szCs w:val="18"/>
                    </w:rPr>
                    <w:drawing>
                      <wp:inline distT="0" distB="0" distL="0" distR="0" wp14:anchorId="6ADE15BC" wp14:editId="62FC924F">
                        <wp:extent cx="230505" cy="230505"/>
                        <wp:effectExtent l="0" t="0" r="0" b="0"/>
                        <wp:docPr id="5" name="图片 5" descr="分享到QQ空间">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分享到QQ空间">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E26F2D">
                    <w:rPr>
                      <w:rFonts w:ascii="&amp;quot" w:eastAsia="宋体" w:hAnsi="&amp;quot" w:cs="宋体" w:hint="eastAsia"/>
                      <w:noProof/>
                      <w:color w:val="3A3A3A"/>
                      <w:kern w:val="0"/>
                      <w:sz w:val="18"/>
                      <w:szCs w:val="18"/>
                    </w:rPr>
                    <w:drawing>
                      <wp:inline distT="0" distB="0" distL="0" distR="0" wp14:anchorId="64F4B1D9" wp14:editId="2AD27772">
                        <wp:extent cx="230505" cy="230505"/>
                        <wp:effectExtent l="0" t="0" r="0" b="0"/>
                        <wp:docPr id="6" name="图片 6" descr="分享到微信">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分享到微信">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E26F2D" w:rsidRPr="00E26F2D" w:rsidRDefault="00E26F2D" w:rsidP="00E26F2D">
            <w:pPr>
              <w:widowControl/>
              <w:spacing w:line="300" w:lineRule="atLeast"/>
              <w:jc w:val="right"/>
              <w:rPr>
                <w:rFonts w:ascii="&amp;quot" w:eastAsia="宋体" w:hAnsi="&amp;quot" w:cs="宋体"/>
                <w:color w:val="000000"/>
                <w:kern w:val="0"/>
                <w:sz w:val="18"/>
                <w:szCs w:val="18"/>
              </w:rPr>
            </w:pPr>
          </w:p>
        </w:tc>
      </w:tr>
      <w:tr w:rsidR="00E26F2D" w:rsidRPr="00E26F2D" w:rsidTr="00E26F2D">
        <w:trPr>
          <w:tblCellSpacing w:w="0" w:type="dxa"/>
        </w:trPr>
        <w:tc>
          <w:tcPr>
            <w:tcW w:w="0" w:type="auto"/>
            <w:shd w:val="clear" w:color="auto" w:fill="auto"/>
            <w:tcMar>
              <w:top w:w="120" w:type="dxa"/>
              <w:left w:w="0" w:type="dxa"/>
              <w:bottom w:w="0" w:type="dxa"/>
              <w:right w:w="0" w:type="dxa"/>
            </w:tcMar>
            <w:vAlign w:val="center"/>
            <w:hideMark/>
          </w:tcPr>
          <w:p w:rsidR="00E26F2D" w:rsidRPr="00E26F2D" w:rsidRDefault="00E26F2D" w:rsidP="00E26F2D">
            <w:pPr>
              <w:widowControl/>
              <w:spacing w:line="320" w:lineRule="atLeast"/>
              <w:jc w:val="right"/>
              <w:rPr>
                <w:rFonts w:ascii="&amp;quot" w:eastAsia="宋体" w:hAnsi="&amp;quot" w:cs="宋体"/>
                <w:color w:val="919191"/>
                <w:kern w:val="0"/>
                <w:szCs w:val="21"/>
              </w:rPr>
            </w:pPr>
            <w:r w:rsidRPr="00E26F2D">
              <w:rPr>
                <w:rFonts w:ascii="&amp;quot" w:eastAsia="宋体" w:hAnsi="&amp;quot" w:cs="宋体"/>
                <w:color w:val="919191"/>
                <w:kern w:val="0"/>
                <w:szCs w:val="21"/>
              </w:rPr>
              <w:t>2016</w:t>
            </w:r>
            <w:r w:rsidRPr="00E26F2D">
              <w:rPr>
                <w:rFonts w:ascii="&amp;quot" w:eastAsia="宋体" w:hAnsi="&amp;quot" w:cs="宋体"/>
                <w:color w:val="919191"/>
                <w:kern w:val="0"/>
                <w:szCs w:val="21"/>
              </w:rPr>
              <w:t>年</w:t>
            </w:r>
            <w:r w:rsidRPr="00E26F2D">
              <w:rPr>
                <w:rFonts w:ascii="&amp;quot" w:eastAsia="宋体" w:hAnsi="&amp;quot" w:cs="宋体"/>
                <w:color w:val="919191"/>
                <w:kern w:val="0"/>
                <w:szCs w:val="21"/>
              </w:rPr>
              <w:t>03</w:t>
            </w:r>
            <w:r w:rsidRPr="00E26F2D">
              <w:rPr>
                <w:rFonts w:ascii="&amp;quot" w:eastAsia="宋体" w:hAnsi="&amp;quot" w:cs="宋体"/>
                <w:color w:val="919191"/>
                <w:kern w:val="0"/>
                <w:szCs w:val="21"/>
              </w:rPr>
              <w:t>月</w:t>
            </w:r>
            <w:r w:rsidRPr="00E26F2D">
              <w:rPr>
                <w:rFonts w:ascii="&amp;quot" w:eastAsia="宋体" w:hAnsi="&amp;quot" w:cs="宋体"/>
                <w:color w:val="919191"/>
                <w:kern w:val="0"/>
                <w:szCs w:val="21"/>
              </w:rPr>
              <w:t>23</w:t>
            </w:r>
            <w:r w:rsidRPr="00E26F2D">
              <w:rPr>
                <w:rFonts w:ascii="&amp;quot" w:eastAsia="宋体" w:hAnsi="&amp;quot" w:cs="宋体"/>
                <w:color w:val="919191"/>
                <w:kern w:val="0"/>
                <w:szCs w:val="21"/>
              </w:rPr>
              <w:t>日</w:t>
            </w:r>
            <w:r w:rsidRPr="00E26F2D">
              <w:rPr>
                <w:rFonts w:ascii="&amp;quot" w:eastAsia="宋体" w:hAnsi="&amp;quot" w:cs="宋体"/>
                <w:color w:val="919191"/>
                <w:kern w:val="0"/>
                <w:szCs w:val="21"/>
              </w:rPr>
              <w:t xml:space="preserve"> </w:t>
            </w:r>
            <w:r w:rsidRPr="00E26F2D">
              <w:rPr>
                <w:rFonts w:ascii="&amp;quot" w:eastAsia="宋体" w:hAnsi="&amp;quot" w:cs="宋体"/>
                <w:color w:val="919191"/>
                <w:kern w:val="0"/>
                <w:szCs w:val="21"/>
              </w:rPr>
              <w:t>发布</w:t>
            </w:r>
            <w:r w:rsidRPr="00E26F2D">
              <w:rPr>
                <w:rFonts w:ascii="&amp;quot" w:eastAsia="宋体" w:hAnsi="&amp;quot" w:cs="宋体"/>
                <w:color w:val="919191"/>
                <w:kern w:val="0"/>
                <w:szCs w:val="21"/>
              </w:rPr>
              <w:t xml:space="preserve"> </w:t>
            </w:r>
          </w:p>
        </w:tc>
      </w:tr>
      <w:tr w:rsidR="00E26F2D" w:rsidRPr="00E26F2D" w:rsidTr="00E26F2D">
        <w:trPr>
          <w:tblCellSpacing w:w="0" w:type="dxa"/>
        </w:trPr>
        <w:tc>
          <w:tcPr>
            <w:tcW w:w="11070" w:type="dxa"/>
            <w:shd w:val="clear" w:color="auto" w:fill="auto"/>
            <w:vAlign w:val="center"/>
            <w:hideMark/>
          </w:tcPr>
          <w:p w:rsidR="00E26F2D" w:rsidRPr="00E26F2D" w:rsidRDefault="00E26F2D" w:rsidP="00E26F2D">
            <w:pPr>
              <w:widowControl/>
              <w:spacing w:line="320" w:lineRule="atLeast"/>
              <w:jc w:val="right"/>
              <w:rPr>
                <w:rFonts w:ascii="&amp;quot" w:eastAsia="宋体" w:hAnsi="&amp;quot" w:cs="宋体"/>
                <w:color w:val="919191"/>
                <w:kern w:val="0"/>
                <w:szCs w:val="21"/>
              </w:rPr>
            </w:pPr>
          </w:p>
        </w:tc>
      </w:tr>
      <w:tr w:rsidR="00E26F2D" w:rsidRPr="00E26F2D" w:rsidTr="00E26F2D">
        <w:trPr>
          <w:tblCellSpacing w:w="0" w:type="dxa"/>
        </w:trPr>
        <w:tc>
          <w:tcPr>
            <w:tcW w:w="0" w:type="auto"/>
            <w:shd w:val="clear" w:color="auto" w:fill="auto"/>
            <w:tcMar>
              <w:top w:w="300" w:type="dxa"/>
              <w:left w:w="0" w:type="dxa"/>
              <w:bottom w:w="0" w:type="dxa"/>
              <w:right w:w="0" w:type="dxa"/>
            </w:tcMar>
            <w:vAlign w:val="center"/>
            <w:hideMark/>
          </w:tcPr>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为加强医疗器械临床试验的管理，维护医疗器械临床试验过程中受试者权益，保证医疗器械临床试验过程规范，结果真实、科学、可靠和可追溯，根据《医疗器械监督管理条例》，食品药品监管总局会同国家卫生和计划生育委员会制定颁布了《医疗器械临床试验质量管理规范》（以下简称《规范》）。该《规范》将于</w:t>
            </w:r>
            <w:r w:rsidRPr="00E26F2D">
              <w:rPr>
                <w:rFonts w:ascii="&amp;quot" w:eastAsia="宋体" w:hAnsi="&amp;quot" w:cs="宋体"/>
                <w:color w:val="000000"/>
                <w:kern w:val="0"/>
                <w:szCs w:val="21"/>
              </w:rPr>
              <w:t>2016</w:t>
            </w:r>
            <w:r w:rsidRPr="00E26F2D">
              <w:rPr>
                <w:rFonts w:ascii="&amp;quot" w:eastAsia="宋体" w:hAnsi="&amp;quot" w:cs="宋体"/>
                <w:color w:val="000000"/>
                <w:kern w:val="0"/>
                <w:szCs w:val="21"/>
              </w:rPr>
              <w:t>年</w:t>
            </w:r>
            <w:r w:rsidRPr="00E26F2D">
              <w:rPr>
                <w:rFonts w:ascii="&amp;quot" w:eastAsia="宋体" w:hAnsi="&amp;quot" w:cs="宋体"/>
                <w:color w:val="000000"/>
                <w:kern w:val="0"/>
                <w:szCs w:val="21"/>
              </w:rPr>
              <w:t>6</w:t>
            </w:r>
            <w:r w:rsidRPr="00E26F2D">
              <w:rPr>
                <w:rFonts w:ascii="&amp;quot" w:eastAsia="宋体" w:hAnsi="&amp;quot" w:cs="宋体"/>
                <w:color w:val="000000"/>
                <w:kern w:val="0"/>
                <w:szCs w:val="21"/>
              </w:rPr>
              <w:t>月</w:t>
            </w:r>
            <w:r w:rsidRPr="00E26F2D">
              <w:rPr>
                <w:rFonts w:ascii="&amp;quot" w:eastAsia="宋体" w:hAnsi="&amp;quot" w:cs="宋体"/>
                <w:color w:val="000000"/>
                <w:kern w:val="0"/>
                <w:szCs w:val="21"/>
              </w:rPr>
              <w:t>1</w:t>
            </w:r>
            <w:r w:rsidRPr="00E26F2D">
              <w:rPr>
                <w:rFonts w:ascii="&amp;quot" w:eastAsia="宋体" w:hAnsi="&amp;quot" w:cs="宋体"/>
                <w:color w:val="000000"/>
                <w:kern w:val="0"/>
                <w:szCs w:val="21"/>
              </w:rPr>
              <w:t>日实施。现将有关内容解读如下：</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w:t>
            </w:r>
            <w:r w:rsidRPr="00E26F2D">
              <w:rPr>
                <w:rFonts w:ascii="&amp;quot" w:eastAsia="宋体" w:hAnsi="&amp;quot" w:cs="宋体"/>
                <w:b/>
                <w:bCs/>
                <w:color w:val="000000"/>
                <w:kern w:val="0"/>
                <w:szCs w:val="21"/>
              </w:rPr>
              <w:t>一、《规范》制定背景</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通过临床试验获得有效数据是评估医疗器械是否安全有效的重要方式之一。发达国家和地区以及国际机构经过长期的监管实践逐步制定了较为成熟的医疗器械临床试验标准或规范要求，如国际标准化组织制定的《医疗器械临床研究质量管理体系标准》（</w:t>
            </w:r>
            <w:r w:rsidRPr="00E26F2D">
              <w:rPr>
                <w:rFonts w:ascii="&amp;quot" w:eastAsia="宋体" w:hAnsi="&amp;quot" w:cs="宋体"/>
                <w:color w:val="000000"/>
                <w:kern w:val="0"/>
                <w:szCs w:val="21"/>
              </w:rPr>
              <w:t>ISO14155</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2004</w:t>
            </w:r>
            <w:r w:rsidRPr="00E26F2D">
              <w:rPr>
                <w:rFonts w:ascii="&amp;quot" w:eastAsia="宋体" w:hAnsi="&amp;quot" w:cs="宋体"/>
                <w:color w:val="000000"/>
                <w:kern w:val="0"/>
                <w:szCs w:val="21"/>
              </w:rPr>
              <w:t>年，原国家食品药品监督管理局发布了《医疗器械临床试验规定》，该规定对规范医疗器械临床试验发挥了积极的作用。但随着对医疗器械临床试验认知的不断深入，其不足也逐步显露，如该规定过于原则和粗放，条款不够全面和清晰，而且随着生物技术、电子信息技术和新材料科学的迅速应用，该规定已难以满足目前医疗器械临床试验管理现状，尽快制定适合我国实际情况，具有较强指导性和操作性的管理规范十分必要。</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新修订的《医疗器械监督管理条例》第十八条规定，开展医疗器械临床试验，应当按照医疗器械临床试验质量管理规范的要求，在有资质的临床试验机构进行。医疗器械临床试验质量管理规范由国务院食品药品监督管理部门会同国务院卫生计生主管部门制定并公布。根据该要求，在前期对国内外相关临床试验管理情况充分调研的基础上，结合我国国情，经征求各方意见，反复讨论修改，制定完成了《规范》。</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w:t>
            </w:r>
            <w:r w:rsidRPr="00E26F2D">
              <w:rPr>
                <w:rFonts w:ascii="&amp;quot" w:eastAsia="宋体" w:hAnsi="&amp;quot" w:cs="宋体"/>
                <w:b/>
                <w:bCs/>
                <w:color w:val="000000"/>
                <w:kern w:val="0"/>
                <w:szCs w:val="21"/>
              </w:rPr>
              <w:t>二、《规范》适用范围</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lastRenderedPageBreak/>
              <w:t xml:space="preserve">　　本规范所称医疗器械临床试验，是指对拟申请注册的医疗器械在正常使用条件下的安全性和有效性进行确认或者验证的过程，在中华人民共和国境内开展医疗器械临床试验，应当遵循本规范，本规范不适用于按照医疗器械管理的体外诊断试剂。</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w:t>
            </w:r>
            <w:r w:rsidRPr="00E26F2D">
              <w:rPr>
                <w:rFonts w:ascii="&amp;quot" w:eastAsia="宋体" w:hAnsi="&amp;quot" w:cs="宋体"/>
                <w:b/>
                <w:bCs/>
                <w:color w:val="000000"/>
                <w:kern w:val="0"/>
                <w:szCs w:val="21"/>
              </w:rPr>
              <w:t>三、《规范》主要内容</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规范》共十一章九十六条，涵盖医疗器械临床试验全过程，包括临床试验的方案设计、实施、监查、核查、检查、以及数据的采集、记录、分析总结和报告等。《规范》从保护受试者权益、规范医疗器械临床试验行为出发，明确了医疗器械临床试验申办者、临床试验机构及研究者和监管部门等各方职责，突出伦理委员会作用和受试者知情同意，强调临床试验过程中的风险控制。</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（一）第一章</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总则</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共五条，对《规范》立法目的与依据，适用范围做出规定，并明确了各监管部门的职责。</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（二）第二章</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临床试验前准备</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共七条，明确了启动医疗器械临床试验必须具备的软硬件条件，规定了临床试验伦理审查、行政审批、属地备案等要求。</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（三）第三章</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受试者权益保障</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共十三条，对保障受试者合法权益做出具体规定。首先强调了遵循伦理准则的重要性，明确提出伦理审查与知情同意是保障受试者权益的主要措施。其后明确了实施伦理保护的具体措施，规定在试验前和试验过程中应当向伦理委员会提交的资料和报告。该章节还规定了受试者享有知情、随时退出的权利和具体执行的方法，并对知情同意书的内容、修改和签署前的准备、一般情况和特定情况下如何获取知情同意等做出了详细的规定。</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（四）第四章</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临床试验方案</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共四条。主要是对临床试验方案的组织制定、内容和修订等方面做出具体的规定。明确了申办者是医疗器械临床试验方案制定的组织者。对安全性和有效性未经证实的全新产品临床试验方案设计提出要求。明确了医疗器械多中心临床试验的定义和实施的要求。</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（五）第五章</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伦理委员会职责</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共八条，主要阐述了伦理委员会的组成、构建、工作程序、职责、需要审议的要点等内容。明确了伦理审查中应当包括对该临床试验科学性的审查。在赋予伦理委员会同意临床试验开展权利的同时，还赋予其可以暂停或终止临床试验的权力，切实保障了受试者权益。</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lastRenderedPageBreak/>
              <w:t xml:space="preserve">　　（六）第六章</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申办者职责</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共二十一条，对申办者主要职责和提供的文件做出了具体规定，还规定了监查员及核查员的选定、工作范围和承担的责任，明确了申办者对临床试验的真实性和可靠以及试验用医疗器械临床试验中的安全性负责。</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（七）第七章</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临床试验机构和研究者职责</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共二十一条，是对临床试验机构和研究者的职责要求。规定了研究者的资格条件，明确了临床试验机构和研究者在试验前、过程中、试验后的职责，重点提出研究者应采取有关措施，保护受试者的生命和健康，维护受试者的权利。</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（八）第八章</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记录与报告</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共七条，是对临床试验过程任何观察与发现的记录要求和临床试验报告编制要求。</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（九）第九章</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试验用医疗器械管理</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共三条，对试验用医疗器械标识、记录和使用进行了规定。</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（十）第十章</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基本文件管理</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共三条，是对医疗器械临床试验前、过程中和试验后形成的有关文件保管的规定。</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（十一）第十一章</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附则</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共四条，用于规定一些用语的含义，特定事项的说明，实施日期等事项。</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w:t>
            </w:r>
            <w:r w:rsidRPr="00E26F2D">
              <w:rPr>
                <w:rFonts w:ascii="&amp;quot" w:eastAsia="宋体" w:hAnsi="&amp;quot" w:cs="宋体"/>
                <w:b/>
                <w:bCs/>
                <w:color w:val="000000"/>
                <w:kern w:val="0"/>
                <w:szCs w:val="21"/>
              </w:rPr>
              <w:t>四、《规范》与原规定的主要不同点</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FF0000"/>
                <w:kern w:val="0"/>
                <w:szCs w:val="21"/>
              </w:rPr>
            </w:pPr>
            <w:r w:rsidRPr="00E26F2D">
              <w:rPr>
                <w:rFonts w:ascii="&amp;quot" w:eastAsia="宋体" w:hAnsi="&amp;quot" w:cs="宋体"/>
                <w:color w:val="000000"/>
                <w:kern w:val="0"/>
                <w:szCs w:val="21"/>
              </w:rPr>
              <w:t xml:space="preserve">　　（一）《规范》取消了</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医疗器械临床试验分医疗器械临床试用和医疗器械临床验证</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要求。由于目前国际上医疗器械监管的通行做法并未严格区分临床试用和临床验证，而且在实际工作中难以操作，故予以删除。但</w:t>
            </w:r>
            <w:r w:rsidRPr="00E26F2D">
              <w:rPr>
                <w:rFonts w:ascii="&amp;quot" w:eastAsia="宋体" w:hAnsi="&amp;quot" w:cs="宋体"/>
                <w:color w:val="FF0000"/>
                <w:kern w:val="0"/>
                <w:szCs w:val="21"/>
              </w:rPr>
              <w:t>对于未在境内外批准上市的新产品，安全性以及性能尚未经医学证实的，为了充分保护受试者权益，《规范》规定了临床试验方案设计时应当先进行小样本可行性试验，而后根据情况方可开展较大样本的安全有效性试验。</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（二）《规范》明确了监管职责，落实条例关于备案和审批的要求。《规范》明确了食品药品监督管理部门和卫生计生主管部门的监管职责，同时还落实了条例中有关临床试验管理的规定，一是</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备案</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，即在医疗器械临床试验开始前申办者应当向所在地省、自治区、直辖市食品药品监督管理部门备案。二是</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审批</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，对列入需进行临床试验审批目录的第三类医疗器械，其临床试验必须获得总局的批准后方可实施。取消了</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市场上尚未出现的</w:t>
            </w:r>
            <w:r w:rsidRPr="00E26F2D">
              <w:rPr>
                <w:rFonts w:ascii="&amp;quot" w:eastAsia="宋体" w:hAnsi="&amp;quot" w:cs="宋体"/>
                <w:color w:val="000000"/>
                <w:kern w:val="0"/>
                <w:szCs w:val="21"/>
              </w:rPr>
              <w:lastRenderedPageBreak/>
              <w:t>第三类植入体内或借用中医理论制成的医疗器械，临床试验方案应当向医疗器械技术审评机构备案</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的要求。</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（三）《规范》明确了</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试验用医疗器械的研制应当符合适用的医疗器械质量管理体系相关要求</w:t>
            </w:r>
            <w:r w:rsidRPr="00E26F2D">
              <w:rPr>
                <w:rFonts w:ascii="&amp;quot" w:eastAsia="宋体" w:hAnsi="&amp;quot" w:cs="宋体"/>
                <w:color w:val="000000"/>
                <w:kern w:val="0"/>
                <w:szCs w:val="21"/>
              </w:rPr>
              <w:t>”</w:t>
            </w:r>
            <w:r w:rsidRPr="00E26F2D">
              <w:rPr>
                <w:rFonts w:ascii="&amp;quot" w:eastAsia="宋体" w:hAnsi="&amp;quot" w:cs="宋体"/>
                <w:color w:val="000000"/>
                <w:kern w:val="0"/>
                <w:szCs w:val="21"/>
              </w:rPr>
              <w:t>，试验用医疗器械直接用于人体，其质量和稳定性必须得到保证，因此要求试验用医疗器械的研制必须符合适用的医疗器械质量管理体系相关要求，并由申办者提供相关声明提交伦理委员会。</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四）《规范》特别注重对受试者权益的保护，在制度和要求上进行了完善。明确了伦理委员会的组成、职责和审查要求；严格受试者的知情同意，明确知情同意书的内容和知情同意的方法要求；《规范》还要求申办者应当为发生与临床试验相关的伤害或者死亡的受试者承担治疗的费用以及相应的经济补偿。</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（五）《规范》提出多中心临床试验的概念，并对多中心临床试验的方案设计和实施提出了多项具体要求，更加符合国际趋势。</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六）《规范》对临床试验各方责任和义务予以强化，分章节对申办者、伦理委员会、临床试验机构和研究者的职责进行了明确规定。规定申办者负责发起、申请、组织、监查临床试验，对临床试验的真实性、可靠性负责；伦理委员会应当按照伦理准则和临床试验管理有关规定，按照工作程序履行审查职责并监督试验的实施；临床试验机构和研究者应当按照临床试验方案、有关协议及临床试验相关规定实施临床试验，出现不良事件应当及时报告并采取适当治疗措施。</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（七）《规范》引入器械缺陷的概念，详细规定了医疗器械临床试验中发生严重不良事件、可能导致严重不良事件的器械缺陷的处理和报告程序。</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八）《规范》完善了临床试验记录、试验用医疗器械、基本文件等临床试验重要环节管理的要求。规定临床试验机构、研究者和申办者应当准确、完整记录临床试验中的相关信息，建立基本文件保存制度，明确了试验用医疗器械的标识、使用和处置等要求。</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w:t>
            </w:r>
            <w:r w:rsidRPr="00E26F2D">
              <w:rPr>
                <w:rFonts w:ascii="&amp;quot" w:eastAsia="宋体" w:hAnsi="&amp;quot" w:cs="宋体"/>
                <w:b/>
                <w:bCs/>
                <w:color w:val="000000"/>
                <w:kern w:val="0"/>
                <w:szCs w:val="21"/>
              </w:rPr>
              <w:t>五、《规范》的配套文件</w:t>
            </w:r>
          </w:p>
          <w:p w:rsidR="00E26F2D" w:rsidRPr="00E26F2D" w:rsidRDefault="00E26F2D" w:rsidP="00E26F2D">
            <w:pPr>
              <w:widowControl/>
              <w:spacing w:before="100" w:beforeAutospacing="1" w:after="100" w:afterAutospacing="1" w:line="420" w:lineRule="atLeast"/>
              <w:jc w:val="left"/>
              <w:rPr>
                <w:rFonts w:ascii="&amp;quot" w:eastAsia="宋体" w:hAnsi="&amp;quot" w:cs="宋体"/>
                <w:color w:val="000000"/>
                <w:kern w:val="0"/>
                <w:szCs w:val="21"/>
              </w:rPr>
            </w:pPr>
            <w:r w:rsidRPr="00E26F2D">
              <w:rPr>
                <w:rFonts w:ascii="&amp;quot" w:eastAsia="宋体" w:hAnsi="&amp;quot" w:cs="宋体"/>
                <w:color w:val="000000"/>
                <w:kern w:val="0"/>
                <w:szCs w:val="21"/>
              </w:rPr>
              <w:t xml:space="preserve">　　为进一步规范医疗器械临床试验过程，总局还制定了医疗器械临床试验伦理审查申请与审批表、知情同意书、医疗器械临床试验方案、医疗器械临床试验报告、医疗器械临床</w:t>
            </w:r>
            <w:r w:rsidRPr="00E26F2D">
              <w:rPr>
                <w:rFonts w:ascii="&amp;quot" w:eastAsia="宋体" w:hAnsi="&amp;quot" w:cs="宋体"/>
                <w:color w:val="000000"/>
                <w:kern w:val="0"/>
                <w:szCs w:val="21"/>
              </w:rPr>
              <w:lastRenderedPageBreak/>
              <w:t>试验病历报告表等格式范本和医疗器械临床试验应当保存的基本文件目录六个文件，发布后将与《规范》同步实施。</w:t>
            </w:r>
          </w:p>
        </w:tc>
        <w:bookmarkStart w:id="0" w:name="_GoBack"/>
        <w:bookmarkEnd w:id="0"/>
      </w:tr>
    </w:tbl>
    <w:p w:rsidR="0040119B" w:rsidRPr="00E26F2D" w:rsidRDefault="001C57D9"/>
    <w:sectPr w:rsidR="0040119B" w:rsidRPr="00E26F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7D9" w:rsidRDefault="001C57D9" w:rsidP="00E26F2D">
      <w:r>
        <w:separator/>
      </w:r>
    </w:p>
  </w:endnote>
  <w:endnote w:type="continuationSeparator" w:id="0">
    <w:p w:rsidR="001C57D9" w:rsidRDefault="001C57D9" w:rsidP="00E2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7D9" w:rsidRDefault="001C57D9" w:rsidP="00E26F2D">
      <w:r>
        <w:separator/>
      </w:r>
    </w:p>
  </w:footnote>
  <w:footnote w:type="continuationSeparator" w:id="0">
    <w:p w:rsidR="001C57D9" w:rsidRDefault="001C57D9" w:rsidP="00E26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82"/>
    <w:rsid w:val="001C57D9"/>
    <w:rsid w:val="006E2482"/>
    <w:rsid w:val="008D1336"/>
    <w:rsid w:val="008E026F"/>
    <w:rsid w:val="00E26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F19CE0-00CE-4B52-B6D4-B91941C6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F2D"/>
    <w:rPr>
      <w:sz w:val="18"/>
      <w:szCs w:val="18"/>
    </w:rPr>
  </w:style>
  <w:style w:type="paragraph" w:styleId="a4">
    <w:name w:val="footer"/>
    <w:basedOn w:val="a"/>
    <w:link w:val="Char0"/>
    <w:uiPriority w:val="99"/>
    <w:unhideWhenUsed/>
    <w:rsid w:val="00E26F2D"/>
    <w:pPr>
      <w:tabs>
        <w:tab w:val="center" w:pos="4153"/>
        <w:tab w:val="right" w:pos="8306"/>
      </w:tabs>
      <w:snapToGrid w:val="0"/>
      <w:jc w:val="left"/>
    </w:pPr>
    <w:rPr>
      <w:sz w:val="18"/>
      <w:szCs w:val="18"/>
    </w:rPr>
  </w:style>
  <w:style w:type="character" w:customStyle="1" w:styleId="Char0">
    <w:name w:val="页脚 Char"/>
    <w:basedOn w:val="a0"/>
    <w:link w:val="a4"/>
    <w:uiPriority w:val="99"/>
    <w:rsid w:val="00E26F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sina.com.cn/share/share.php?title=%E3%80%8A%E5%8C%BB%E7%96%97%E5%99%A8%E6%A2%B0%E4%B8%B4%E5%BA%8A%E8%AF%95%E9%AA%8C%E8%B4%A8%E9%87%8F%E7%AE%A1%E7%90%86%E8%A7%84%E8%8C%83%E3%80%8B%E8%A7%A3%E8%AF%BB&amp;url=http://samr.cfda.gov.cn/WS01/CL1723/148081.html" TargetMode="Externa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ns.qzone.qq.com/cgi-bin/qzshare/cgi_qzshare_onekey?url=http://samr.cfda.gov.cn/WS01/CL1723/148081.html&amp;title=%E3%80%8A%E5%8C%BB%E7%96%97%E5%99%A8%E6%A2%B0%E4%B8%B4%E5%BA%8A%E8%AF%95%E9%AA%8C%E8%B4%A8%E9%87%8F%E7%AE%A1%E7%90%86%E8%A7%84%E8%8C%83%E3%80%8B%E8%A7%A3%E8%AF%BB&amp;api_ke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endnotes" Target="endnotes.xml"/><Relationship Id="rId15" Type="http://schemas.openxmlformats.org/officeDocument/2006/relationships/image" Target="media/image6.gif"/><Relationship Id="rId10" Type="http://schemas.openxmlformats.org/officeDocument/2006/relationships/hyperlink" Target="http://share.v.t.qq.com/index.php?c=share&amp;a=index&amp;title=%E3%80%8A%E5%8C%BB%E7%96%97%E5%99%A8%E6%A2%B0%E4%B8%B4%E5%BA%8A%E8%AF%95%E9%AA%8C%E8%B4%A8%E9%87%8F%E7%AE%A1%E7%90%86%E8%A7%84%E8%8C%83%E3%80%8B%E8%A7%A3%E8%AF%BB&amp;url=http://samr.cfda.gov.cn/WS01/CL1723/148081.html" TargetMode="Externa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hyperlink" Target="http://samr.cfda.gov.cn/WS01/wbppcss/ewm.html?url=http://samr.cfda.gov.cn/WS01/CL1723/148081.html&amp;title=%E3%80%8A%E5%8C%BB%E7%96%97%E5%99%A8%E6%A2%B0%E4%B8%B4%E5%BA%8A%E8%AF%95%E9%AA%8C%E8%B4%A8%E9%87%8F%E7%AE%A1%E7%90%86%E8%A7%84%E8%8C%83%E3%80%8B%E8%A7%A3%E8%AF%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2018-06-05T00:35:00Z</dcterms:created>
  <dcterms:modified xsi:type="dcterms:W3CDTF">2018-06-05T00:38:00Z</dcterms:modified>
</cp:coreProperties>
</file>